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42" w:lineRule="exact"/>
        <w:rPr>
          <w:sz w:val="20"/>
          <w:szCs w:val="20"/>
          <w:color w:val="auto"/>
        </w:rPr>
      </w:pPr>
      <w:r>
        <w:rPr>
          <w:rFonts w:ascii="Times New Roman" w:cs="Times New Roman" w:eastAsia="Times New Roman" w:hAnsi="Times New Roman"/>
          <w:sz w:val="18"/>
          <w:szCs w:val="18"/>
          <w:color w:val="auto"/>
        </w:rPr>
        <w:t xml:space="preserve">Form 20-F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Form 40-F </w:t>
      </w:r>
      <w:r>
        <w:rPr>
          <w:rFonts w:ascii="Arial Unicode MS" w:cs="Arial Unicode MS" w:eastAsia="Arial Unicode MS" w:hAnsi="Arial Unicode MS"/>
          <w:sz w:val="18"/>
          <w:szCs w:val="18"/>
          <w:color w:val="auto"/>
        </w:rPr>
        <w:t>☐</w:t>
      </w:r>
    </w:p>
    <w:p>
      <w:pPr>
        <w:spacing w:after="0" w:line="19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Arial Unicode MS" w:cs="Arial Unicode MS" w:eastAsia="Arial Unicode MS" w:hAnsi="Arial Unicode MS"/>
          <w:sz w:val="18"/>
          <w:szCs w:val="18"/>
          <w:color w:val="auto"/>
        </w:rPr>
        <w:t>☐</w:t>
      </w:r>
    </w:p>
    <w:p>
      <w:pPr>
        <w:spacing w:after="0" w:line="19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1900" w:type="dxa"/>
            <w:vAlign w:val="bottom"/>
          </w:tcPr>
          <w:p>
            <w:pPr>
              <w:spacing w:after="0"/>
              <w:rPr>
                <w:sz w:val="24"/>
                <w:szCs w:val="24"/>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6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912"/>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64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156845</wp:posOffset>
            </wp:positionV>
            <wp:extent cx="986155"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Third Quarter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Revenues Increased by 17.0% Year-over-Year to RMB17.9 Billion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GAAP Operating Income Increased by 55.1% Year-over-Year to RMB2.8 Billion, with Operating Margin Expanding to 15.4%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Average Monthly Transacting Customers Reached Another Record High of 123.0 Million</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November 3, 2026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RMB17,891.5 million (US$2,666.0 million), representing a 17.0% year-over-year increase.</w:t>
      </w:r>
    </w:p>
    <w:p>
      <w:pPr>
        <w:spacing w:after="0" w:line="224"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2,599, comprising 2,543 stores in China (including Hong Kong), 14 stores in Singapore, 40 stores in Malaysia and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stores in the U.S. </w:t>
      </w: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xml:space="preserve"> increased to 38,909 at the third quarter end, comprising 25,402 self-operated stores and 13,507 partnership stores, which represented a store unit growth of 7.2% from the total store count as of the end of the second quarter of 2026.</w:t>
      </w:r>
    </w:p>
    <w:p>
      <w:pPr>
        <w:spacing w:after="0" w:line="169"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reached another record high of 123.0 million, representing a 9.6% year-over-year increase.</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RMB12,939.8 million (US$1,928.2 million), representing a 16.8% year-over-year increase.</w:t>
      </w:r>
    </w:p>
    <w:p>
      <w:pPr>
        <w:spacing w:after="0" w:line="224" w:lineRule="exact"/>
        <w:rPr>
          <w:rFonts w:ascii="Arial" w:cs="Arial" w:eastAsia="Arial" w:hAnsi="Arial"/>
          <w:sz w:val="18"/>
          <w:szCs w:val="18"/>
          <w:b w:val="1"/>
          <w:bCs w:val="1"/>
          <w:color w:val="auto"/>
        </w:rPr>
      </w:pPr>
    </w:p>
    <w:p>
      <w:pPr>
        <w:ind w:left="340" w:right="20" w:hanging="332"/>
        <w:spacing w:after="0" w:line="285"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negative 11.1%, compared to 14.3% in the same quarter of 2025, primarily reflecting a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prior-year comparison base due to elevated subsidies offered by food delivery platforms during the comparable period.</w:t>
      </w:r>
    </w:p>
    <w:p>
      <w:pPr>
        <w:spacing w:after="0" w:line="155"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RMB3,019.3 million (US$449.9 million), representing a 55.5%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Store-level operating margin improved by 5.8 percentage points year-over-year to 23.3%.</w:t>
      </w:r>
    </w:p>
    <w:p>
      <w:pPr>
        <w:spacing w:after="0" w:line="155"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RMB4,242.7 million (US$632.2 million), representing an 11.7% year-over-year increase.</w:t>
      </w:r>
    </w:p>
    <w:p>
      <w:pPr>
        <w:spacing w:after="0" w:line="224"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RMB2,755.9 million (US$410.7 million), representing a 55.1% year-over-year increase. GAAP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improved by 3.8 percentage points year-over-year to 15.4%.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which adjusts for share-based compensation expenses and deal-related expenses for long-term equity investment, was RMB3,047.0 million (US$454.0 million), representing a 58.2% year-over-year increase. Non-GAAP operating margin improved by 4.4 percentage points year-over-year to 17.0%.</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Jinyi Guo, Co-founder and CEO of Luckin Coffee, said, “Our execution of the high-quality, scaled growth strategy continued to yield positive results. Amid growing coffee demand in China, our average monthly transacting customers reached another record high, while we maintained an industry-leading pace of store expansion. We also continued to improve profitability, with quarterly non-GAAP net income reaching a record RMB2.1 billion. These results further validate our digitally driven end-to-end business model and reinforce our confidence in capturing the secular growth opportunities in China’s coffee market. With this in mind, we are pleased to announce that our board has approved a new share repurchase program of up to US$500 million. Looking ahead, we remain focused on market share gains and long-term value creation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3" w:lineRule="exact"/>
        <w:rPr>
          <w:sz w:val="20"/>
          <w:szCs w:val="20"/>
          <w:color w:val="auto"/>
        </w:rPr>
      </w:pPr>
    </w:p>
    <w:p>
      <w:pPr>
        <w:ind w:left="5580" w:right="3460" w:hanging="5572"/>
        <w:spacing w:after="0" w:line="623"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RMB17,891.5 million (US$2,666.0 million), representing an increase of 17.0% from RMB15,287.1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Net revenues growth was primarily driven by a 19.7% year-over-year increase in GMV, which reached RMB20.7 billion, as a result of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40" w:right="20" w:hanging="332"/>
        <w:spacing w:after="0" w:line="285"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RMB13,648.7 million (US$2,033.8 million), representing an increase of 18.8% from RMB11,488.3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2025.</w:t>
      </w:r>
    </w:p>
    <w:p>
      <w:pPr>
        <w:spacing w:after="0" w:line="159"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freshly brewed drinks increased to RMB12,438.4 million (US$1,853.4 million) from RMB10,632.9 million in the same quarter of 2025. This revenue stream accounted for 69.5% of total net revenues, largely consistent with the same quarter of 2025.</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other products increased to RMB1,051.9 million (US$156.7 million) from RMB622.5 million in the same quarter of 2025. This revenue stream accounted for 5.9% of total net revenues, compared to 4.1% in the same quarter of 2025.</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1"/>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others were RMB158.4 million (US$23.7 million), compared to RMB232.9 million in the same quarter of 2025. The decrease was mainly due to lower revenue from delivery for self-operated stores. This revenue stream accounted for 0.9% of total net revenues, compared to 1.4% in the same quarter of 2025.</w:t>
      </w:r>
    </w:p>
    <w:p>
      <w:pPr>
        <w:spacing w:after="0" w:line="173" w:lineRule="exact"/>
        <w:rPr>
          <w:rFonts w:ascii="Arial" w:cs="Arial" w:eastAsia="Arial" w:hAnsi="Arial"/>
          <w:sz w:val="18"/>
          <w:szCs w:val="18"/>
          <w:b w:val="1"/>
          <w:bCs w:val="1"/>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RMB4,242.7 million (US$632.2 million), representing an increase of 11.7% from RMB3,798.9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This revenue stream accounted for 23.7% of total net revenues, compared to 24.9% in the same quarter of 2025. Revenues from partnership stores included sales of materials of RMB2,811.2 million (US$418.9 million), delivery service fees of RMB606.3 million (US$90.3 million), profit sharing and royalty fee of RMB580.8 million (US$86.5 million), sales of equipment of RMB214.5 million (US$32.0 million), and franchise and other service fees of RMB30.0 million (US$4.5 million).</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RMB15,135.5 million (US$2,255.3 million), representing an increase of 12.0% from RMB13,510.6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increase primarily resulted from the Company’s business expansion. Operating expenses as a percentage of total net revenues decreased to 84.6% from 88.4% in the same quarter of 2025, mainly due to delivery expenses decreasing as a percentage of total net revenues.</w:t>
      </w:r>
    </w:p>
    <w:p>
      <w:pPr>
        <w:spacing w:after="0" w:line="171" w:lineRule="exact"/>
        <w:rPr>
          <w:sz w:val="20"/>
          <w:szCs w:val="20"/>
          <w:color w:val="auto"/>
        </w:rPr>
      </w:pPr>
    </w:p>
    <w:p>
      <w:pPr>
        <w:ind w:left="340" w:hanging="332"/>
        <w:spacing w:after="0" w:line="28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RMB6,854.2 million (US$1,021.3 million), representing an increase of 23.7% from RMB5,539.9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 The increase was primarily attributable to (i) higher product sales volume and (ii) increased sales of materials to partnership stores.</w:t>
      </w:r>
    </w:p>
    <w:p>
      <w:pPr>
        <w:spacing w:after="0" w:line="155"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RMB3,925.4 million (US$584.9 million), representing an increase of 26.7% from RMB3,097.1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2025. The increase mainly resulted from expanded store footprint and increased items sold which led to year-over-year increases in (i) labor costs, (ii) store rental costs as well as (iii) utilities and other store operating costs.</w:t>
      </w:r>
    </w:p>
    <w:p>
      <w:pPr>
        <w:spacing w:after="0" w:line="169"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RMB490.9 million (US$73.2 million), representing an increase of 19.7% from RMB410.0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The increase was mainly due to (i) greater depreciation expenses from new equipment deployed at stores and (ii) higher store leasehold improvement amortization.</w:t>
      </w:r>
    </w:p>
    <w:p>
      <w:pPr>
        <w:spacing w:after="0" w:line="169"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RMB1,789.0 million (US$266.6 million), representing a significant decrease of 38.1% from RMB2,889.2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decrease was mainly due to a notable shift in order mix from delivery to pick-up.</w:t>
      </w:r>
    </w:p>
    <w:p>
      <w:pPr>
        <w:spacing w:after="0" w:line="155"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RMB976.2 million (US$145.5 million), representing an increase of 30.0% from RMB751.2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The increase was mainly driven by higher spending on advertising and other promotion expenses. Sales and marketing expenses as a percentage of total net revenues was 5.5%, compared to 4.9% in the same quarter of 2025.</w:t>
      </w:r>
    </w:p>
    <w:p>
      <w:pPr>
        <w:spacing w:after="0" w:line="169"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RMB1,075.3 million (US$160.2 million), representing an increase of 35.5% from RMB793.4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2025. The increase was mainly driven by increases in (i) share-based compensation for management and employees, (ii) payroll costs for general and administrative staff, and (iii) research and development expenses. General and administrative expenses as a percentage of total net revenues was 6.0%, compared to 5.2% in the same quarter of 2025.</w:t>
      </w:r>
    </w:p>
    <w:p>
      <w:pPr>
        <w:spacing w:after="0" w:line="175"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RMB23.4 million (US$3.5 million), representing a decrease of 14.8% from RMB27.4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mainly due to fewer stores preparing to be opened compared to the same quarter of 2025. Store preopening and other expenses as a percentage of total net revenues was 0.1%, compared to 0.2% in the same quarter of 2025.</w:t>
      </w:r>
    </w:p>
    <w:p>
      <w:pPr>
        <w:spacing w:after="0" w:line="169"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RMB1.1 million (US$0.2 million), compared to RMB2.3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quarter of 2025.</w:t>
      </w:r>
    </w:p>
    <w:p>
      <w:pPr>
        <w:spacing w:after="0" w:line="155"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Store-level operating margin - self-operated stores </w:t>
      </w:r>
      <w:r>
        <w:rPr>
          <w:rFonts w:ascii="Times New Roman" w:cs="Times New Roman" w:eastAsia="Times New Roman" w:hAnsi="Times New Roman"/>
          <w:sz w:val="18"/>
          <w:szCs w:val="18"/>
          <w:color w:val="auto"/>
        </w:rPr>
        <w:t>was 23.3%, improving by 5.8 percentage points from 17.5% in the same quarter of 2025.</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RMB2,755.9 million (US$410.7 million), representing an increase of 55.1% from RMB1,776.6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2025. GAAP operating margin was 15.4%, an increase of 3.8 percentage points from 11.6% in the same quarter of 2025.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RMB3,047.0 million (US$454.0 million), representing an increase of 58.2% from RMB1,925.7 million in the same quarter of 2025. Non-GAAP operating margin was 17.0%, an increase of 4.4 percentage points from 12.6% in the same quarter of 2025.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RMB914.1 million (US$136.2 million), compared to RMB560.1 million in the same quarter of 2025. The growth was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higher profits earned in this quarter.</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RMB1,858.9 million (US$277.0 million), representing an increase of 45.4% from RMB1,278.3 million in the same quarter of 2025.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was 10.4%, an increase of 2.0 percentage points from 8.4% in the same quarter of 2025.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RMB2,144.8 million (US$319.6 million), representing an increase of 50.9% from RMB1,421.4 million in the same quarter of 2025. Non-GAAP net margin was 12.0%, an increase of 2.7 percentage points from 9.3% in the same quarter of 2025.</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RMB5.92 (US$0.88) and RMB5.92 (US$0.88), respectively, compared to RMB4.00 and RMB3.92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2025,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RMB6.80 (US$1.04) and RMB6.80 (US$1.04), respectively, compared to RMB4.40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RMB4.40 in the same quarter of 2025,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RMB4,131.8 million (US$615.7 million), compared to RMB2,069.2 million in the same quarter of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RMB14,333.4 million (US$2,135.8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compared to RMB8,964.4 million as of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UPDATE AND ADDITIONAL AUTHORIZATION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Company’s share repurchase program announced in April 2026 and upsized in September 2026, with an aggregate authorized amount of US$500 million (the “Existing Share Repurchase Program”), the Company repurchased a total of 95.8 million Class A ordinary shares (equivalent to 12.0 million American depositary shares (“ADSs”)) for a total consideration of US$391.0 million as of September 30,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the Company’s board of directors has approved a new share repurchase program (the “New Share Repurchase Program”), under which the Company may repurchase up to US$500 million of its Class A ordinary shares in the form of ADSs for a 12-month period. The New Share Repurchase Program will commence upon the earlier of (i) the full utilization of the existing US$500 million share repurchase authorization and (ii) the expiration of the term of the Existing Share Repurchase Program.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 repurchases, if any, under the New Share Repurchase Program may be made from time to time on the open market at prevailing market prices, in privately negotiated transactions, block trades and/or through other legally permissible means, depending on market and economic conditions and other factors, including share price, applicable legal and regulatory requirements, the Company's insider trading policy and capital availability. Open-market repurchases may be conducted in reliance on Rule 10b-18 under the Securities Exchange Act of 1934, as amended (the “Exchange Act”), where applicable, and repurchases may also be effected pursuant to trading plans intended to satisfy the requirements of Rule 10b5-1 under the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Share Repurchase Program does not obligate the Company to acquire any particular number of ADSs or to expend any particular amount. The Company's board of directors will review the New Share Repurchase Program periodically and may authorize adjustments to its terms or size, or suspend or terminate the program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5"/>
        </w:trPr>
        <w:tc>
          <w:tcPr>
            <w:tcW w:w="42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87"/>
        </w:trPr>
        <w:tc>
          <w:tcPr>
            <w:tcW w:w="4260" w:type="dxa"/>
            <w:vAlign w:val="bottom"/>
          </w:tcPr>
          <w:p>
            <w:pPr>
              <w:spacing w:after="0"/>
              <w:rPr>
                <w:sz w:val="16"/>
                <w:szCs w:val="16"/>
                <w:color w:val="auto"/>
              </w:rPr>
            </w:pPr>
          </w:p>
        </w:tc>
        <w:tc>
          <w:tcPr>
            <w:tcW w:w="9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0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92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4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108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Sep 30,</w:t>
            </w:r>
          </w:p>
        </w:tc>
        <w:tc>
          <w:tcPr>
            <w:tcW w:w="240" w:type="dxa"/>
            <w:vAlign w:val="bottom"/>
          </w:tcPr>
          <w:p>
            <w:pPr>
              <w:spacing w:after="0"/>
              <w:rPr>
                <w:sz w:val="16"/>
                <w:szCs w:val="16"/>
                <w:color w:val="auto"/>
              </w:rPr>
            </w:pPr>
          </w:p>
        </w:tc>
      </w:tr>
      <w:tr>
        <w:trPr>
          <w:trHeight w:val="238"/>
        </w:trPr>
        <w:tc>
          <w:tcPr>
            <w:tcW w:w="4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36,310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38,909</w:t>
            </w: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15,598</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18,882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20,234</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21,807</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23,734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25,402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8,499</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9,238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10,814</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11,789</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12,576</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13,507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(0.1)%</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monthly transacting customers (in thousands)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74,272</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91,697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112,295</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98,351</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93,089</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112,707</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123,019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158" w:lineRule="exact"/>
        <w:rPr>
          <w:sz w:val="20"/>
          <w:szCs w:val="20"/>
          <w:color w:val="auto"/>
        </w:rPr>
      </w:pPr>
    </w:p>
    <w:p>
      <w:pPr>
        <w:ind w:left="340" w:right="2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GMV </w:t>
      </w:r>
      <w:r>
        <w:rPr>
          <w:rFonts w:ascii="Times New Roman" w:cs="Times New Roman" w:eastAsia="Times New Roman" w:hAnsi="Times New Roman"/>
          <w:sz w:val="18"/>
          <w:szCs w:val="18"/>
          <w:color w:val="auto"/>
        </w:rPr>
        <w:t>(gross merchandise value) refers to the transaction amount from the sales of freshly brewed and non-freshly brewed items through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partnership stores.</w:t>
      </w:r>
    </w:p>
    <w:p>
      <w:pPr>
        <w:spacing w:after="0" w:line="87"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156"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offline sales and revenue from delivery for self-operated stores.</w:t>
      </w:r>
    </w:p>
    <w:p>
      <w:pPr>
        <w:spacing w:after="0" w:line="87"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w:t>
      </w:r>
    </w:p>
    <w:p>
      <w:pPr>
        <w:spacing w:after="0" w:line="87"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and royalty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franchise and other services from partnership stores.</w:t>
      </w:r>
    </w:p>
    <w:p>
      <w:pPr>
        <w:spacing w:after="0" w:line="87" w:lineRule="exact"/>
        <w:rPr>
          <w:rFonts w:ascii="Arial" w:cs="Arial" w:eastAsia="Arial" w:hAnsi="Arial"/>
          <w:sz w:val="18"/>
          <w:szCs w:val="18"/>
          <w:b w:val="1"/>
          <w:bCs w:val="1"/>
          <w:color w:val="auto"/>
        </w:rPr>
      </w:pPr>
    </w:p>
    <w:p>
      <w:pPr>
        <w:jc w:val="both"/>
        <w:ind w:left="340" w:hanging="332"/>
        <w:spacing w:after="0" w:line="257"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year-over-year growth rate of total revenues from self-operated stores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as qualifying on a monthly basis, meaning stores that were in operation at the beginning of the comparable month and remained open through the end of the current month. Same-store sales growth is calculated by dividing the sum of each current month’s revenue from qualified self-operated stores by the sum of each comparable month’s revenue from those same qualified self-operated stores. Beginning in the first quarter of 2026, we adjusted this definition to better reflect the sales growth of our self-operated stores. Comparative figures from previous periods presented have been adjusted to conform to the updated definition.</w:t>
      </w:r>
    </w:p>
    <w:p>
      <w:pPr>
        <w:spacing w:after="0" w:line="113"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107"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Store-level operating margin - self-operated stores. </w:t>
      </w:r>
      <w:r>
        <w:rPr>
          <w:rFonts w:ascii="Times New Roman" w:cs="Times New Roman" w:eastAsia="Times New Roman" w:hAnsi="Times New Roman"/>
          <w:sz w:val="18"/>
          <w:szCs w:val="18"/>
          <w:color w:val="auto"/>
        </w:rPr>
        <w:t>Calculated by dividing store-level operating profit by total revenues from self-operated stores.</w:t>
      </w:r>
    </w:p>
    <w:p>
      <w:pPr>
        <w:spacing w:after="0" w:line="156"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 of the period.</w:t>
      </w:r>
    </w:p>
    <w:p>
      <w:pPr>
        <w:spacing w:after="0" w:line="156"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156"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87" w:lineRule="exact"/>
        <w:rPr>
          <w:rFonts w:ascii="Arial" w:cs="Arial" w:eastAsia="Arial" w:hAnsi="Arial"/>
          <w:sz w:val="18"/>
          <w:szCs w:val="18"/>
          <w:b w:val="1"/>
          <w:bCs w:val="1"/>
          <w:color w:val="auto"/>
        </w:rPr>
      </w:pPr>
    </w:p>
    <w:p>
      <w:pPr>
        <w:ind w:left="340" w:right="2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Calculated by operating income excluding share-based compensation expenses and deal-related expenses for long-term equity investment.</w:t>
      </w:r>
    </w:p>
    <w:p>
      <w:pPr>
        <w:spacing w:after="0" w:line="87" w:lineRule="exact"/>
        <w:rPr>
          <w:rFonts w:ascii="Arial" w:cs="Arial" w:eastAsia="Arial" w:hAnsi="Arial"/>
          <w:sz w:val="18"/>
          <w:szCs w:val="18"/>
          <w:b w:val="1"/>
          <w:bCs w:val="1"/>
          <w:color w:val="auto"/>
        </w:rPr>
      </w:pPr>
    </w:p>
    <w:p>
      <w:pPr>
        <w:ind w:left="34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Calculated by net income excluding recurring item of share-based compensation expenses, one-off item of deal-related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for long-term equity investment and income tax effects of GAAP to non-GAAP reconciling items.</w:t>
      </w:r>
    </w:p>
    <w:p>
      <w:pPr>
        <w:spacing w:after="0" w:line="87" w:lineRule="exact"/>
        <w:rPr>
          <w:rFonts w:ascii="Arial" w:cs="Arial" w:eastAsia="Arial" w:hAnsi="Arial"/>
          <w:sz w:val="18"/>
          <w:szCs w:val="18"/>
          <w:b w:val="1"/>
          <w:bCs w:val="1"/>
          <w:color w:val="auto"/>
        </w:rPr>
      </w:pPr>
    </w:p>
    <w:p>
      <w:pPr>
        <w:jc w:val="both"/>
        <w:ind w:left="340" w:hanging="332"/>
        <w:spacing w:after="0" w:line="268"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Non-GAAP net income attributable to the Company’s ordinary shareholders. </w:t>
      </w:r>
      <w:r>
        <w:rPr>
          <w:rFonts w:ascii="Times New Roman" w:cs="Times New Roman" w:eastAsia="Times New Roman" w:hAnsi="Times New Roman"/>
          <w:sz w:val="18"/>
          <w:szCs w:val="18"/>
          <w:color w:val="auto"/>
        </w:rPr>
        <w:t>Calculated by adjusting net income attributable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excluding recurring item of share-based compensation expenses, one-off item of deal-related expenses for long-term equity investment and income tax effects of GAAP to non-GAAP reconciling items.</w:t>
      </w:r>
    </w:p>
    <w:p>
      <w:pPr>
        <w:spacing w:after="0" w:line="102" w:lineRule="exact"/>
        <w:rPr>
          <w:rFonts w:ascii="Arial" w:cs="Arial" w:eastAsia="Arial" w:hAnsi="Arial"/>
          <w:sz w:val="18"/>
          <w:szCs w:val="18"/>
          <w:b w:val="1"/>
          <w:bCs w:val="1"/>
          <w:color w:val="auto"/>
        </w:rPr>
      </w:pPr>
    </w:p>
    <w:p>
      <w:pPr>
        <w:ind w:left="340" w:right="2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Non-GAAP basic and diluted net income per share.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87" w:lineRule="exact"/>
        <w:rPr>
          <w:rFonts w:ascii="Arial" w:cs="Arial" w:eastAsia="Arial" w:hAnsi="Arial"/>
          <w:sz w:val="18"/>
          <w:szCs w:val="18"/>
          <w:b w:val="1"/>
          <w:bCs w:val="1"/>
          <w:color w:val="auto"/>
        </w:rPr>
      </w:pPr>
    </w:p>
    <w:p>
      <w:pPr>
        <w:ind w:left="340" w:right="20" w:hanging="332"/>
        <w:spacing w:after="0" w:line="285" w:lineRule="auto"/>
        <w:tabs>
          <w:tab w:leader="none" w:pos="3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ADS.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and deal-related expenses for long-term equity investment, non-GAAP net income/(loss) as net income/(loss) excluding recurring item of share-based compensation expenses, one-off item of deal-related expenses for long-term equity investment and income tax effects of GAAP to non-GAAP reconciling items, and non-GAAP net income/(loss) attributable to the Company’s ordinary shareholders as net income/(loss) attributable to the Company’s ordinary shareholders excluding recurring item of share-based compensation expenses, one-off item of deal-related expenses for long-term equity investment and income tax effects of GAAP to non-GAAP reconciling items.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RMB6.7110 to US$1.00, the exchange rate on September 25, 2026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today, on Tuesday, November 3, 2026, at 8:00 am Eastern Time (or Tuesday, November 3, 2026, at 9:00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+1-888-317-6003</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+1-412-317-6061</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+86-400-120-6115</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+852-58081995</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5849826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November 10, 2026,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USA/Canada Toll Free: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+1-855-669-9658</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9066982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AS OF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UNAUDITED CONDENSED CONSOLIDATED BALANCE SHEET AS OF 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14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2,294,112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7,586,125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1,130,402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114,189</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3,328,423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846,306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126,107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5,025,000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748,771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198,433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580,557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798,733</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119,018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2,966,506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2,850,378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424,732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2,520,657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2,643,249</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393,868</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14,430,947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20,062,413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2,989,481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644,256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6,289,986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6,884,123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1,025,797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61,782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 non-current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104,306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968,836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1,036,719</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154,481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261,122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7,637,320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8,676,659</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1,292,901</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15,870,637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18,264,661</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2,721,601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38,327,074</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5,711,082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6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484,280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1,103,767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1,430,827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213,206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4,148,323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5,611,880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836,221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139,553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20,794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149,887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143,569</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2,948,353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3,374,458</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502,825</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8,506,620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13,950,287</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2,078,719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339,797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533,355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79,475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4,315,808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4,859,441</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724,101</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4,655,605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5,392,796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13,162,225</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19,343,083</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2,882,295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preferred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225,698</w:t>
            </w: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17,278,391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18,002,875</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2,682,592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453,625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452,759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(2,654,127)</w:t>
            </w: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(395,489)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earnings/(deficits)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(2,438,985)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1,413,317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331,642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254,481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15,624,699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17,469,331</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2,603,089</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30,301,584</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38,327,074</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040" w:type="dxa"/>
            <w:vAlign w:val="bottom"/>
            <w:gridSpan w:val="7"/>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c>
          <w:tcPr>
            <w:tcW w:w="3980" w:type="dxa"/>
            <w:vAlign w:val="bottom"/>
            <w:gridSpan w:val="7"/>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9"/>
                <w:szCs w:val="19"/>
                <w:color w:val="auto"/>
              </w:rPr>
            </w:pPr>
          </w:p>
        </w:tc>
        <w:tc>
          <w:tcPr>
            <w:tcW w:w="15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11,488,260</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13,648,725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2,033,784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27,764,284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34,846,795</w:t>
            </w:r>
          </w:p>
        </w:tc>
        <w:tc>
          <w:tcPr>
            <w:tcW w:w="22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5,192,490</w:t>
            </w:r>
          </w:p>
        </w:tc>
      </w:tr>
      <w:tr>
        <w:trPr>
          <w:trHeight w:val="229"/>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3,798,852</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4,242,733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632,206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8,746,978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10,925,768</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1,628,039</w:t>
            </w:r>
          </w:p>
        </w:tc>
      </w:tr>
      <w:tr>
        <w:trPr>
          <w:trHeight w:val="209"/>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15,287,112</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17,891,458</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2,665,990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36,511,262</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45,772,563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6,820,529</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materials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(5,539,919)</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(6,854,198)</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(1,021,338)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(13,675,678)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(17,832,121)</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(2,657,148)</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(3,097,088)</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(3,925,426)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(584,924)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(8,091,301)</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(10,600,680)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(1,579,598)</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(409,964)</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(490,916)</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(73,151)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(1,123,074)</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(1,416,033)</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(211,002)</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(2,889,182)</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(1,788,969)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(266,573)</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(5,247,879)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(4,714,737)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(702,539)</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(751,239)</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(976,243)</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(145,469)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(1,840,153)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(2,633,713)</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(392,447)</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(793,449)</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(1,075,277)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(160,226)</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(2,210,822)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(2,911,145)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(433,787)</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(27,428)</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(23,378)</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(3,484)</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(59,756)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(65,467)</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(9,755)</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32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(2,289)</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(5,596)</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(3,790)</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0"/>
        </w:trPr>
        <w:tc>
          <w:tcPr>
            <w:tcW w:w="3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(13,510,558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(15,135,526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(2,255,332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(32,259,768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(40,177,839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(5,986,864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1,776,554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2,755,932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410,658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4,251,494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5,594,724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833,665</w:t>
            </w: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54,134</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41,836</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6,234</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133,326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120,728</w:t>
            </w:r>
          </w:p>
        </w:tc>
        <w:tc>
          <w:tcPr>
            <w:tcW w:w="22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17,990</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loss, net</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(2,707)</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(19,517)</w:t>
            </w:r>
          </w:p>
        </w:tc>
        <w:tc>
          <w:tcPr>
            <w:tcW w:w="2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(2,908)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(12,797)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(48,867)</w:t>
            </w: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(7,282)</w:t>
            </w:r>
          </w:p>
        </w:tc>
      </w:tr>
      <w:tr>
        <w:trPr>
          <w:trHeight w:val="230"/>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59,824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25,141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3,746</w:t>
            </w:r>
          </w:p>
        </w:tc>
      </w:tr>
      <w:tr>
        <w:trPr>
          <w:trHeight w:val="20"/>
        </w:trPr>
        <w:tc>
          <w:tcPr>
            <w:tcW w:w="3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41" w:lineRule="exact"/>
        <w:rPr>
          <w:sz w:val="20"/>
          <w:szCs w:val="20"/>
          <w:color w:val="auto"/>
        </w:rPr>
      </w:pPr>
    </w:p>
    <w:p>
      <w:pPr>
        <w:ind w:left="40"/>
        <w:spacing w:after="0" w:line="317" w:lineRule="auto"/>
        <w:rPr>
          <w:sz w:val="20"/>
          <w:szCs w:val="20"/>
          <w:color w:val="auto"/>
        </w:rPr>
      </w:pPr>
      <w:r>
        <w:rPr>
          <w:rFonts w:ascii="Times New Roman" w:cs="Times New Roman" w:eastAsia="Times New Roman" w:hAnsi="Times New Roman"/>
          <w:sz w:val="17"/>
          <w:szCs w:val="17"/>
          <w:b w:val="1"/>
          <w:bCs w:val="1"/>
          <w:color w:val="auto"/>
        </w:rPr>
        <w:t>Net income attributable to the Company’s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1,838,457</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2,772,999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413,201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4,431,722</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5,676,784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845,893</w:t>
            </w:r>
          </w:p>
        </w:tc>
        <w:tc>
          <w:tcPr>
            <w:tcW w:w="60" w:type="dxa"/>
            <w:vAlign w:val="bottom"/>
          </w:tcPr>
          <w:p>
            <w:pPr>
              <w:spacing w:after="0"/>
              <w:rPr>
                <w:sz w:val="20"/>
                <w:szCs w:val="20"/>
                <w:color w:val="auto"/>
              </w:rPr>
            </w:pPr>
          </w:p>
        </w:tc>
      </w:tr>
      <w:tr>
        <w:trPr>
          <w:trHeight w:val="210"/>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(914,118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(271,993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1,858,881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276,989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3,851,436</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573,900</w:t>
            </w:r>
          </w:p>
        </w:tc>
        <w:tc>
          <w:tcPr>
            <w:tcW w:w="6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1,858,881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276,989</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3,851,436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573,900</w:t>
            </w:r>
          </w:p>
        </w:tc>
        <w:tc>
          <w:tcPr>
            <w:tcW w:w="6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-770890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-479425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60" w:space="560"/>
            <w:col w:w="80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22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used in calculating basic and 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2,564,658,430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2,517,371,654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2,517,371,654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2,564,658,441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2,559,798,522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2,559,798,522</w:t>
            </w: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2,586,724,800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2,525,722,598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2,525,722,598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2,584,194,116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2,566,517,865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2,566,517,865</w:t>
            </w:r>
          </w:p>
        </w:tc>
      </w:tr>
      <w:tr>
        <w:trPr>
          <w:trHeight w:val="216"/>
        </w:trPr>
        <w:tc>
          <w:tcPr>
            <w:tcW w:w="3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1,278,324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1,858,881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276,989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3,082,192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3,851,436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573,900</w:t>
            </w:r>
          </w:p>
        </w:tc>
      </w:tr>
      <w:tr>
        <w:trPr>
          <w:trHeight w:val="194"/>
        </w:trPr>
        <w:tc>
          <w:tcPr>
            <w:tcW w:w="32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 nil:</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2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 of nil</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(17,645)</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(54,739)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(77,161)</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r>
      <w:tr>
        <w:trPr>
          <w:trHeight w:val="230"/>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1,855,113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276,428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3,774,275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562,402</w:t>
            </w:r>
          </w:p>
        </w:tc>
      </w:tr>
      <w:tr>
        <w:trPr>
          <w:trHeight w:val="174"/>
        </w:trPr>
        <w:tc>
          <w:tcPr>
            <w:tcW w:w="3220" w:type="dxa"/>
            <w:vAlign w:val="bottom"/>
            <w:tcBorders>
              <w:top w:val="single" w:sz="8" w:color="CCEEFF"/>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attributable to the Company’s ordinary</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5"/>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1,260,679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1,855,113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276,428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3,027,453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3,774,275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562,402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0" w:firstLine="8"/>
        <w:spacing w:after="0" w:line="28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76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9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4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2,069,201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4,131,760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615,669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5,526,280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7,547,764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1,124,685</w:t>
            </w:r>
          </w:p>
        </w:tc>
      </w:tr>
      <w:tr>
        <w:trPr>
          <w:trHeight w:val="216"/>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(3,750,368)</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(4,142,204)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(617,225)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(7,339,419)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(2,682,901)</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(399,776)</w:t>
            </w:r>
          </w:p>
        </w:tc>
      </w:tr>
      <w:tr>
        <w:trPr>
          <w:trHeight w:val="216"/>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(333,600)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595,873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88,791</w:t>
            </w:r>
          </w:p>
        </w:tc>
      </w:tr>
      <w:tr>
        <w:trPr>
          <w:trHeight w:val="198"/>
        </w:trPr>
        <w:tc>
          <w:tcPr>
            <w:tcW w:w="39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 and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2,936</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(18,569)</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(13,695)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(55,573)</w:t>
            </w:r>
          </w:p>
        </w:tc>
        <w:tc>
          <w:tcPr>
            <w:tcW w:w="1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(8,281)</w:t>
            </w:r>
          </w:p>
        </w:tc>
      </w:tr>
      <w:tr>
        <w:trPr>
          <w:trHeight w:val="178"/>
        </w:trPr>
        <w:tc>
          <w:tcPr>
            <w:tcW w:w="3940" w:type="dxa"/>
            <w:vAlign w:val="bottom"/>
            <w:tcBorders>
              <w:top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restricted cash</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(1,678,231)</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(50,058)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(2,160,434)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5,405,163</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805,419</w:t>
            </w:r>
          </w:p>
        </w:tc>
      </w:tr>
      <w:tr>
        <w:trPr>
          <w:trHeight w:val="194"/>
        </w:trPr>
        <w:tc>
          <w:tcPr>
            <w:tcW w:w="39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3,924,482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7,812,154</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1,164,082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2,356,933</w:t>
            </w: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351,204</w:t>
            </w:r>
          </w:p>
        </w:tc>
      </w:tr>
      <w:tr>
        <w:trPr>
          <w:trHeight w:val="174"/>
        </w:trPr>
        <w:tc>
          <w:tcPr>
            <w:tcW w:w="3940" w:type="dxa"/>
            <w:vAlign w:val="bottom"/>
            <w:tcBorders>
              <w:top w:val="single" w:sz="8" w:color="CCEEFF"/>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 at</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2,246,251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7,762,096</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1,156,623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2,246,251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7,762,096</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1,156,623</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06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c>
          <w:tcPr>
            <w:tcW w:w="398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r>
      <w:tr>
        <w:trPr>
          <w:trHeight w:val="223"/>
        </w:trPr>
        <w:tc>
          <w:tcPr>
            <w:tcW w:w="3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2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1,776,554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2,755,932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410,658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4,251,494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5,594,724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833,665</w:t>
            </w: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149,139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430,760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724,484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107,954</w:t>
            </w:r>
          </w:p>
        </w:tc>
      </w:tr>
      <w:tr>
        <w:trPr>
          <w:trHeight w:val="198"/>
        </w:trPr>
        <w:tc>
          <w:tcPr>
            <w:tcW w:w="32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Deal-related expenses for long-term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21,636</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21,636</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w:t>
            </w:r>
          </w:p>
        </w:tc>
      </w:tr>
      <w:tr>
        <w:trPr>
          <w:trHeight w:val="210"/>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1,925,693</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3,047,041</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454,036</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4,682,254</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6,340,844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944,843</w:t>
            </w:r>
          </w:p>
        </w:tc>
        <w:tc>
          <w:tcPr>
            <w:tcW w:w="100" w:type="dxa"/>
            <w:vAlign w:val="bottom"/>
            <w:tcBorders>
              <w:bottom w:val="single" w:sz="8" w:color="CCEEFF"/>
            </w:tcBorders>
          </w:tcPr>
          <w:p>
            <w:pPr>
              <w:spacing w:after="0"/>
              <w:rPr>
                <w:sz w:val="18"/>
                <w:szCs w:val="18"/>
                <w:color w:val="auto"/>
              </w:rPr>
            </w:pPr>
          </w:p>
        </w:tc>
      </w:tr>
      <w:tr>
        <w:trPr>
          <w:trHeight w:val="209"/>
        </w:trPr>
        <w:tc>
          <w:tcPr>
            <w:tcW w:w="3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1,278,324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1,858,881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276,989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3,082,192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3,851,436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573,900</w:t>
            </w:r>
          </w:p>
        </w:tc>
      </w:tr>
      <w:tr>
        <w:trPr>
          <w:trHeight w:val="216"/>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for: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149,139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269,473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40,154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430,760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724,484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107,954</w:t>
            </w:r>
          </w:p>
        </w:tc>
      </w:tr>
      <w:tr>
        <w:trPr>
          <w:trHeight w:val="198"/>
        </w:trPr>
        <w:tc>
          <w:tcPr>
            <w:tcW w:w="32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Deal-related expenses for long-term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investment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21,636</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21,636</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w:t>
            </w:r>
          </w:p>
        </w:tc>
      </w:tr>
      <w:tr>
        <w:trPr>
          <w:trHeight w:val="198"/>
        </w:trPr>
        <w:tc>
          <w:tcPr>
            <w:tcW w:w="32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Income tax effects of GAAP to non-</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reconciling items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(5,165)</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(15,225)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(12,842)</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(1,914)</w:t>
            </w:r>
          </w:p>
        </w:tc>
      </w:tr>
      <w:tr>
        <w:trPr>
          <w:trHeight w:val="209"/>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1,421,433</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2,144,825</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319,597</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3,497,727</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4,584,714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683,164</w:t>
            </w:r>
          </w:p>
        </w:tc>
        <w:tc>
          <w:tcPr>
            <w:tcW w:w="100" w:type="dxa"/>
            <w:vAlign w:val="bottom"/>
            <w:tcBorders>
              <w:bottom w:val="single" w:sz="8" w:color="CCEEFF"/>
            </w:tcBorders>
          </w:tcPr>
          <w:p>
            <w:pPr>
              <w:spacing w:after="0"/>
              <w:rPr>
                <w:sz w:val="18"/>
                <w:szCs w:val="18"/>
                <w:color w:val="auto"/>
              </w:rPr>
            </w:pPr>
          </w:p>
        </w:tc>
      </w:tr>
      <w:tr>
        <w:trPr>
          <w:trHeight w:val="174"/>
        </w:trPr>
        <w:tc>
          <w:tcPr>
            <w:tcW w:w="3200" w:type="dxa"/>
            <w:vAlign w:val="bottom"/>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52"/>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the Company’s ordinary shareholders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1,421,433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2,144,825</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319,597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3,497,727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4,584,714</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683,164</w:t>
            </w:r>
          </w:p>
        </w:tc>
      </w:tr>
      <w:tr>
        <w:trPr>
          <w:trHeight w:val="20"/>
        </w:trPr>
        <w:tc>
          <w:tcPr>
            <w:tcW w:w="3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right="8280" w:hanging="7"/>
        <w:spacing w:after="0" w:line="262" w:lineRule="auto"/>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per share Weighted average shares outstanding used in calculating basic and diluted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2960" w:type="dxa"/>
            <w:vAlign w:val="bottom"/>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color w:val="auto"/>
              </w:rPr>
              <w:t>Basic</w:t>
            </w:r>
          </w:p>
        </w:tc>
        <w:tc>
          <w:tcPr>
            <w:tcW w:w="1520" w:type="dxa"/>
            <w:vAlign w:val="bottom"/>
            <w:shd w:val="clear" w:color="auto" w:fill="CCEEFF"/>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2,564,658,430</w:t>
            </w:r>
          </w:p>
        </w:tc>
        <w:tc>
          <w:tcPr>
            <w:tcW w:w="1360" w:type="dxa"/>
            <w:vAlign w:val="bottom"/>
            <w:shd w:val="clear" w:color="auto" w:fill="CCEEFF"/>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2,517,371,654</w:t>
            </w:r>
          </w:p>
        </w:tc>
        <w:tc>
          <w:tcPr>
            <w:tcW w:w="1360" w:type="dxa"/>
            <w:vAlign w:val="bottom"/>
            <w:shd w:val="clear" w:color="auto" w:fill="CCEEFF"/>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2,517,371,654</w:t>
            </w:r>
          </w:p>
        </w:tc>
        <w:tc>
          <w:tcPr>
            <w:tcW w:w="1360" w:type="dxa"/>
            <w:vAlign w:val="bottom"/>
            <w:shd w:val="clear" w:color="auto" w:fill="CCEEFF"/>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rPr>
              <w:t>2,564,658,441</w:t>
            </w:r>
          </w:p>
        </w:tc>
        <w:tc>
          <w:tcPr>
            <w:tcW w:w="1380" w:type="dxa"/>
            <w:vAlign w:val="bottom"/>
            <w:shd w:val="clear" w:color="auto" w:fill="CCEEFF"/>
          </w:tcPr>
          <w:p>
            <w:pPr>
              <w:jc w:val="right"/>
              <w:ind w:right="90"/>
              <w:spacing w:after="0" w:line="199" w:lineRule="exact"/>
              <w:rPr>
                <w:sz w:val="20"/>
                <w:szCs w:val="20"/>
                <w:color w:val="auto"/>
              </w:rPr>
            </w:pPr>
            <w:r>
              <w:rPr>
                <w:rFonts w:ascii="Times New Roman" w:cs="Times New Roman" w:eastAsia="Times New Roman" w:hAnsi="Times New Roman"/>
                <w:sz w:val="18"/>
                <w:szCs w:val="18"/>
                <w:color w:val="auto"/>
              </w:rPr>
              <w:t>2,559,798,522</w:t>
            </w:r>
          </w:p>
        </w:tc>
        <w:tc>
          <w:tcPr>
            <w:tcW w:w="130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2,559,798,522</w:t>
            </w: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2,586,724,800</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2,525,722,598</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2,525,722,598</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2,584,194,116</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2,566,517,865</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2,566,517,865</w:t>
            </w:r>
          </w:p>
        </w:tc>
      </w:tr>
      <w:tr>
        <w:trPr>
          <w:trHeight w:val="216"/>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0.55</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29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6.80</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10.88</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14.32</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4.40</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6.80</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10.80</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14.32</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79" w:lineRule="exact"/>
        <w:rPr>
          <w:sz w:val="20"/>
          <w:szCs w:val="20"/>
          <w:color w:val="auto"/>
        </w:rPr>
      </w:pPr>
    </w:p>
    <w:p>
      <w:pPr>
        <w:ind w:right="200" w:firstLine="8"/>
        <w:spacing w:after="0" w:line="282"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2026-11-03T07:17:54Z</dcterms:created>
  <dcterms:modified xsi:type="dcterms:W3CDTF">2026-11-03T07:17:54Z</dcterms:modified>
</cp:coreProperties>
</file>