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SCHEDULE 13G</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No. __)</w:t>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Luckin Coffee Inc.</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American Depositary Shares, each</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representing eight Class A Ordinary Shares</w:t>
      </w: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54951L109</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December 31, 2019</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Event Which Requires Filing of this Statement)</w:t>
      </w:r>
    </w:p>
    <w:p>
      <w:pPr>
        <w:spacing w:after="0" w:line="213"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spacing w:after="0"/>
        <w:tabs>
          <w:tab w:leader="none" w:pos="700" w:val="left"/>
        </w:tabs>
        <w:rPr>
          <w:sz w:val="20"/>
          <w:szCs w:val="20"/>
          <w:color w:val="auto"/>
        </w:rPr>
      </w:pPr>
      <w:r>
        <w:rPr>
          <w:rFonts w:ascii="Arial" w:cs="Arial" w:eastAsia="Arial" w:hAnsi="Arial"/>
          <w:sz w:val="20"/>
          <w:szCs w:val="20"/>
          <w:color w:val="auto"/>
        </w:rPr>
        <w:t>[ X ]</w:t>
      </w:r>
      <w:r>
        <w:rPr>
          <w:sz w:val="20"/>
          <w:szCs w:val="20"/>
          <w:color w:val="auto"/>
        </w:rPr>
        <w:tab/>
      </w:r>
      <w:r>
        <w:rPr>
          <w:rFonts w:ascii="Arial" w:cs="Arial" w:eastAsia="Arial" w:hAnsi="Arial"/>
          <w:sz w:val="18"/>
          <w:szCs w:val="18"/>
          <w:color w:val="auto"/>
        </w:rPr>
        <w:t>Rule 13d-1(b)</w:t>
      </w:r>
    </w:p>
    <w:p>
      <w:pPr>
        <w:spacing w:after="0" w:line="229" w:lineRule="exact"/>
        <w:rPr>
          <w:sz w:val="24"/>
          <w:szCs w:val="24"/>
          <w:color w:val="auto"/>
        </w:rPr>
      </w:pPr>
    </w:p>
    <w:p>
      <w:pPr>
        <w:ind w:left="780" w:hanging="124"/>
        <w:spacing w:after="0"/>
        <w:tabs>
          <w:tab w:leader="none" w:pos="780" w:val="left"/>
        </w:tabs>
        <w:numPr>
          <w:ilvl w:val="0"/>
          <w:numId w:val="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8"/>
          <w:szCs w:val="18"/>
          <w:color w:val="auto"/>
        </w:rPr>
        <w:t>Rule 13d-1(c)</w:t>
      </w:r>
    </w:p>
    <w:p>
      <w:pPr>
        <w:spacing w:after="0" w:line="229" w:lineRule="exact"/>
        <w:rPr>
          <w:rFonts w:ascii="Arial" w:cs="Arial" w:eastAsia="Arial" w:hAnsi="Arial"/>
          <w:sz w:val="20"/>
          <w:szCs w:val="20"/>
          <w:color w:val="auto"/>
        </w:rPr>
      </w:pPr>
    </w:p>
    <w:p>
      <w:pPr>
        <w:ind w:left="780" w:hanging="124"/>
        <w:spacing w:after="0"/>
        <w:tabs>
          <w:tab w:leader="none" w:pos="780" w:val="left"/>
        </w:tabs>
        <w:numPr>
          <w:ilvl w:val="0"/>
          <w:numId w:val="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8"/>
          <w:szCs w:val="18"/>
          <w:color w:val="auto"/>
        </w:rPr>
        <w:t>Rule 13d-1(d)</w:t>
      </w:r>
    </w:p>
    <w:p>
      <w:pPr>
        <w:spacing w:after="0" w:line="229" w:lineRule="exact"/>
        <w:rPr>
          <w:sz w:val="24"/>
          <w:szCs w:val="24"/>
          <w:color w:val="auto"/>
        </w:rPr>
      </w:pPr>
    </w:p>
    <w:p>
      <w:pPr>
        <w:jc w:val="both"/>
        <w:ind w:right="700"/>
        <w:spacing w:after="0" w:line="316"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4" w:lineRule="exact"/>
        <w:rPr>
          <w:sz w:val="24"/>
          <w:szCs w:val="24"/>
          <w:color w:val="auto"/>
        </w:rPr>
      </w:pPr>
    </w:p>
    <w:p>
      <w:pPr>
        <w:jc w:val="both"/>
        <w:ind w:right="220"/>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94" w:lineRule="exact"/>
        <w:rPr>
          <w:sz w:val="24"/>
          <w:szCs w:val="24"/>
          <w:color w:val="auto"/>
        </w:rPr>
      </w:pPr>
    </w:p>
    <w:p>
      <w:pPr>
        <w:spacing w:after="0" w:line="252" w:lineRule="auto"/>
        <w:rPr>
          <w:sz w:val="20"/>
          <w:szCs w:val="20"/>
          <w:color w:val="auto"/>
        </w:rPr>
      </w:pPr>
      <w:r>
        <w:rPr>
          <w:rFonts w:ascii="Arial" w:cs="Arial" w:eastAsia="Arial" w:hAnsi="Arial"/>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2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54951L109</w:t>
      </w:r>
    </w:p>
    <w:p>
      <w:pPr>
        <w:spacing w:after="0" w:line="236"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Alkeon Capital Management, LLC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5"/>
        <w:spacing w:after="0"/>
        <w:tabs>
          <w:tab w:leader="none" w:pos="1580" w:val="left"/>
        </w:tabs>
        <w:numPr>
          <w:ilvl w:val="1"/>
          <w:numId w:val="2"/>
        </w:numPr>
        <w:rPr>
          <w:rFonts w:ascii="Arial" w:cs="Arial" w:eastAsia="Arial" w:hAnsi="Arial"/>
          <w:sz w:val="20"/>
          <w:szCs w:val="20"/>
          <w:color w:val="auto"/>
        </w:rPr>
      </w:pPr>
      <w:r>
        <w:rPr>
          <w:rFonts w:ascii="Arial" w:cs="Arial" w:eastAsia="Arial" w:hAnsi="Arial"/>
          <w:sz w:val="20"/>
          <w:szCs w:val="20"/>
          <w:color w:val="auto"/>
        </w:rPr>
        <w:t>______</w:t>
      </w:r>
    </w:p>
    <w:p>
      <w:pPr>
        <w:spacing w:after="0" w:line="229" w:lineRule="exact"/>
        <w:rPr>
          <w:rFonts w:ascii="Arial" w:cs="Arial" w:eastAsia="Arial" w:hAnsi="Arial"/>
          <w:sz w:val="20"/>
          <w:szCs w:val="20"/>
          <w:color w:val="auto"/>
        </w:rPr>
      </w:pPr>
    </w:p>
    <w:p>
      <w:pPr>
        <w:ind w:left="1840" w:hanging="535"/>
        <w:spacing w:after="0"/>
        <w:tabs>
          <w:tab w:leader="none" w:pos="1840" w:val="left"/>
        </w:tabs>
        <w:numPr>
          <w:ilvl w:val="1"/>
          <w:numId w:val="2"/>
        </w:numPr>
        <w:rPr>
          <w:rFonts w:ascii="Arial" w:cs="Arial" w:eastAsia="Arial" w:hAnsi="Arial"/>
          <w:sz w:val="20"/>
          <w:szCs w:val="20"/>
          <w:color w:val="auto"/>
        </w:rPr>
      </w:pPr>
      <w:r>
        <w:rPr>
          <w:rFonts w:ascii="Arial" w:cs="Arial" w:eastAsia="Arial" w:hAnsi="Arial"/>
          <w:sz w:val="20"/>
          <w:szCs w:val="20"/>
          <w:color w:val="auto"/>
        </w:rPr>
        <w:t>X</w:t>
      </w:r>
    </w:p>
    <w:p>
      <w:pPr>
        <w:spacing w:after="0" w:line="229" w:lineRule="exact"/>
        <w:rPr>
          <w:rFonts w:ascii="Arial" w:cs="Arial" w:eastAsia="Arial" w:hAnsi="Arial"/>
          <w:sz w:val="20"/>
          <w:szCs w:val="20"/>
          <w:color w:val="auto"/>
        </w:rPr>
      </w:pPr>
    </w:p>
    <w:p>
      <w:pPr>
        <w:ind w:left="860" w:hanging="204"/>
        <w:spacing w:after="0"/>
        <w:tabs>
          <w:tab w:leader="none" w:pos="860" w:val="left"/>
        </w:tabs>
        <w:numPr>
          <w:ilvl w:val="0"/>
          <w:numId w:val="2"/>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-593725</wp:posOffset>
            </wp:positionV>
            <wp:extent cx="4051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5130" cy="889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80" w:type="dxa"/>
            <w:vAlign w:val="bottom"/>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8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8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96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32,032,416</w:t>
            </w:r>
          </w:p>
        </w:tc>
        <w:tc>
          <w:tcPr>
            <w:tcW w:w="0" w:type="dxa"/>
            <w:vAlign w:val="bottom"/>
          </w:tcPr>
          <w:p>
            <w:pPr>
              <w:spacing w:after="0"/>
              <w:rPr>
                <w:sz w:val="1"/>
                <w:szCs w:val="1"/>
                <w:color w:val="auto"/>
              </w:rPr>
            </w:pPr>
          </w:p>
        </w:tc>
      </w:tr>
      <w:tr>
        <w:trPr>
          <w:trHeight w:val="230"/>
        </w:trPr>
        <w:tc>
          <w:tcPr>
            <w:tcW w:w="218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8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80" w:type="dxa"/>
            <w:vAlign w:val="bottom"/>
            <w:tcBorders>
              <w:bottom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80" w:type="dxa"/>
            <w:vAlign w:val="bottom"/>
            <w:vMerge w:val="continue"/>
          </w:tcPr>
          <w:p>
            <w:pPr>
              <w:spacing w:after="0"/>
              <w:rPr>
                <w:sz w:val="15"/>
                <w:szCs w:val="15"/>
                <w:color w:val="auto"/>
              </w:rPr>
            </w:pPr>
          </w:p>
        </w:tc>
        <w:tc>
          <w:tcPr>
            <w:tcW w:w="280" w:type="dxa"/>
            <w:vAlign w:val="bottom"/>
          </w:tcPr>
          <w:p>
            <w:pPr>
              <w:jc w:val="right"/>
              <w:spacing w:after="0" w:line="180" w:lineRule="exact"/>
              <w:rPr>
                <w:sz w:val="20"/>
                <w:szCs w:val="20"/>
                <w:color w:val="auto"/>
              </w:rPr>
            </w:pPr>
            <w:r>
              <w:rPr>
                <w:rFonts w:ascii="Arial" w:cs="Arial" w:eastAsia="Arial" w:hAnsi="Arial"/>
                <w:sz w:val="20"/>
                <w:szCs w:val="20"/>
                <w:color w:val="auto"/>
              </w:rPr>
              <w:t>7.</w:t>
            </w:r>
          </w:p>
        </w:tc>
        <w:tc>
          <w:tcPr>
            <w:tcW w:w="8960" w:type="dxa"/>
            <w:vAlign w:val="bottom"/>
          </w:tcPr>
          <w:p>
            <w:pPr>
              <w:ind w:left="20"/>
              <w:spacing w:after="0" w:line="180"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tcBorders>
              <w:bottom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96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32,032,416</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32,032,416</w:t>
      </w:r>
    </w:p>
    <w:p>
      <w:pPr>
        <w:spacing w:after="0" w:line="235" w:lineRule="exact"/>
        <w:rPr>
          <w:rFonts w:ascii="Arial" w:cs="Arial" w:eastAsia="Arial" w:hAnsi="Arial"/>
          <w:sz w:val="20"/>
          <w:szCs w:val="20"/>
          <w:color w:val="auto"/>
        </w:rPr>
      </w:pPr>
    </w:p>
    <w:p>
      <w:pPr>
        <w:ind w:left="1300" w:right="4280" w:hanging="644"/>
        <w:spacing w:after="0" w:line="260" w:lineRule="auto"/>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9.6%</w:t>
      </w:r>
    </w:p>
    <w:p>
      <w:pPr>
        <w:spacing w:after="0" w:line="229" w:lineRule="exact"/>
        <w:rPr>
          <w:rFonts w:ascii="Arial" w:cs="Arial" w:eastAsia="Arial" w:hAnsi="Arial"/>
          <w:sz w:val="20"/>
          <w:szCs w:val="20"/>
          <w:color w:val="auto"/>
        </w:rPr>
      </w:pPr>
    </w:p>
    <w:p>
      <w:pPr>
        <w:ind w:left="960" w:hanging="304"/>
        <w:spacing w:after="0"/>
        <w:tabs>
          <w:tab w:leader="none" w:pos="96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IA, OO</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3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54951L109</w:t>
      </w:r>
    </w:p>
    <w:p>
      <w:pPr>
        <w:spacing w:after="0" w:line="236"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Panayotis D. Sparaggis</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5"/>
        <w:spacing w:after="0"/>
        <w:tabs>
          <w:tab w:leader="none" w:pos="1580" w:val="left"/>
        </w:tabs>
        <w:numPr>
          <w:ilvl w:val="1"/>
          <w:numId w:val="4"/>
        </w:numPr>
        <w:rPr>
          <w:rFonts w:ascii="Arial" w:cs="Arial" w:eastAsia="Arial" w:hAnsi="Arial"/>
          <w:sz w:val="20"/>
          <w:szCs w:val="20"/>
          <w:color w:val="auto"/>
        </w:rPr>
      </w:pPr>
      <w:r>
        <w:rPr>
          <w:rFonts w:ascii="Arial" w:cs="Arial" w:eastAsia="Arial" w:hAnsi="Arial"/>
          <w:sz w:val="20"/>
          <w:szCs w:val="20"/>
          <w:color w:val="auto"/>
        </w:rPr>
        <w:t>______</w:t>
      </w:r>
    </w:p>
    <w:p>
      <w:pPr>
        <w:spacing w:after="0" w:line="229" w:lineRule="exact"/>
        <w:rPr>
          <w:rFonts w:ascii="Arial" w:cs="Arial" w:eastAsia="Arial" w:hAnsi="Arial"/>
          <w:sz w:val="20"/>
          <w:szCs w:val="20"/>
          <w:color w:val="auto"/>
        </w:rPr>
      </w:pPr>
    </w:p>
    <w:p>
      <w:pPr>
        <w:ind w:left="1840" w:hanging="535"/>
        <w:spacing w:after="0"/>
        <w:tabs>
          <w:tab w:leader="none" w:pos="1840" w:val="left"/>
        </w:tabs>
        <w:numPr>
          <w:ilvl w:val="1"/>
          <w:numId w:val="4"/>
        </w:numPr>
        <w:rPr>
          <w:rFonts w:ascii="Arial" w:cs="Arial" w:eastAsia="Arial" w:hAnsi="Arial"/>
          <w:sz w:val="20"/>
          <w:szCs w:val="20"/>
          <w:color w:val="auto"/>
        </w:rPr>
      </w:pPr>
      <w:r>
        <w:rPr>
          <w:rFonts w:ascii="Arial" w:cs="Arial" w:eastAsia="Arial" w:hAnsi="Arial"/>
          <w:sz w:val="20"/>
          <w:szCs w:val="20"/>
          <w:color w:val="auto"/>
        </w:rPr>
        <w:t>X</w:t>
      </w:r>
    </w:p>
    <w:p>
      <w:pPr>
        <w:spacing w:after="0" w:line="229" w:lineRule="exact"/>
        <w:rPr>
          <w:rFonts w:ascii="Arial" w:cs="Arial" w:eastAsia="Arial" w:hAnsi="Arial"/>
          <w:sz w:val="20"/>
          <w:szCs w:val="20"/>
          <w:color w:val="auto"/>
        </w:rPr>
      </w:pPr>
    </w:p>
    <w:p>
      <w:pPr>
        <w:ind w:left="860" w:hanging="204"/>
        <w:spacing w:after="0"/>
        <w:tabs>
          <w:tab w:leader="none" w:pos="86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-593725</wp:posOffset>
            </wp:positionV>
            <wp:extent cx="4051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5130" cy="889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80" w:type="dxa"/>
            <w:vAlign w:val="bottom"/>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8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8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96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32,032,416</w:t>
            </w:r>
          </w:p>
        </w:tc>
        <w:tc>
          <w:tcPr>
            <w:tcW w:w="0" w:type="dxa"/>
            <w:vAlign w:val="bottom"/>
          </w:tcPr>
          <w:p>
            <w:pPr>
              <w:spacing w:after="0"/>
              <w:rPr>
                <w:sz w:val="1"/>
                <w:szCs w:val="1"/>
                <w:color w:val="auto"/>
              </w:rPr>
            </w:pPr>
          </w:p>
        </w:tc>
      </w:tr>
      <w:tr>
        <w:trPr>
          <w:trHeight w:val="230"/>
        </w:trPr>
        <w:tc>
          <w:tcPr>
            <w:tcW w:w="218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8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80" w:type="dxa"/>
            <w:vAlign w:val="bottom"/>
            <w:tcBorders>
              <w:bottom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80" w:type="dxa"/>
            <w:vAlign w:val="bottom"/>
            <w:vMerge w:val="continue"/>
          </w:tcPr>
          <w:p>
            <w:pPr>
              <w:spacing w:after="0"/>
              <w:rPr>
                <w:sz w:val="15"/>
                <w:szCs w:val="15"/>
                <w:color w:val="auto"/>
              </w:rPr>
            </w:pPr>
          </w:p>
        </w:tc>
        <w:tc>
          <w:tcPr>
            <w:tcW w:w="280" w:type="dxa"/>
            <w:vAlign w:val="bottom"/>
          </w:tcPr>
          <w:p>
            <w:pPr>
              <w:jc w:val="right"/>
              <w:spacing w:after="0" w:line="180" w:lineRule="exact"/>
              <w:rPr>
                <w:sz w:val="20"/>
                <w:szCs w:val="20"/>
                <w:color w:val="auto"/>
              </w:rPr>
            </w:pPr>
            <w:r>
              <w:rPr>
                <w:rFonts w:ascii="Arial" w:cs="Arial" w:eastAsia="Arial" w:hAnsi="Arial"/>
                <w:sz w:val="20"/>
                <w:szCs w:val="20"/>
                <w:color w:val="auto"/>
              </w:rPr>
              <w:t>7.</w:t>
            </w:r>
          </w:p>
        </w:tc>
        <w:tc>
          <w:tcPr>
            <w:tcW w:w="8960" w:type="dxa"/>
            <w:vAlign w:val="bottom"/>
          </w:tcPr>
          <w:p>
            <w:pPr>
              <w:ind w:left="20"/>
              <w:spacing w:after="0" w:line="180"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tcBorders>
              <w:bottom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96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32,032,416</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32,032,416</w:t>
      </w:r>
    </w:p>
    <w:p>
      <w:pPr>
        <w:spacing w:after="0" w:line="235" w:lineRule="exact"/>
        <w:rPr>
          <w:rFonts w:ascii="Arial" w:cs="Arial" w:eastAsia="Arial" w:hAnsi="Arial"/>
          <w:sz w:val="20"/>
          <w:szCs w:val="20"/>
          <w:color w:val="auto"/>
        </w:rPr>
      </w:pPr>
    </w:p>
    <w:p>
      <w:pPr>
        <w:ind w:left="1300" w:right="4280" w:hanging="644"/>
        <w:spacing w:after="0" w:line="260" w:lineRule="auto"/>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9.6%</w:t>
      </w:r>
    </w:p>
    <w:p>
      <w:pPr>
        <w:spacing w:after="0" w:line="229" w:lineRule="exact"/>
        <w:rPr>
          <w:rFonts w:ascii="Arial" w:cs="Arial" w:eastAsia="Arial" w:hAnsi="Arial"/>
          <w:sz w:val="20"/>
          <w:szCs w:val="20"/>
          <w:color w:val="auto"/>
        </w:rPr>
      </w:pPr>
    </w:p>
    <w:p>
      <w:pPr>
        <w:ind w:left="960" w:hanging="304"/>
        <w:spacing w:after="0"/>
        <w:tabs>
          <w:tab w:leader="none" w:pos="96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HC, IN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3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54951L109</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w:t>
      </w:r>
    </w:p>
    <w:p>
      <w:pPr>
        <w:spacing w:after="0" w:line="213"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Name of Issuer</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Luckin Coffee Inc.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Address of Issuer's Principal Executive Offices</w:t>
      </w:r>
    </w:p>
    <w:p>
      <w:pPr>
        <w:spacing w:after="0" w:line="223" w:lineRule="exact"/>
        <w:rPr>
          <w:rFonts w:ascii="Arial" w:cs="Arial" w:eastAsia="Arial" w:hAnsi="Arial"/>
          <w:sz w:val="20"/>
          <w:szCs w:val="20"/>
          <w:color w:val="auto"/>
        </w:rPr>
      </w:pPr>
    </w:p>
    <w:p>
      <w:pPr>
        <w:ind w:left="1300"/>
        <w:spacing w:after="0" w:line="267" w:lineRule="auto"/>
        <w:rPr>
          <w:rFonts w:ascii="Arial" w:cs="Arial" w:eastAsia="Arial" w:hAnsi="Arial"/>
          <w:sz w:val="20"/>
          <w:szCs w:val="20"/>
          <w:color w:val="auto"/>
        </w:rPr>
      </w:pPr>
      <w:r>
        <w:rPr>
          <w:rFonts w:ascii="Arial" w:cs="Arial" w:eastAsia="Arial" w:hAnsi="Arial"/>
          <w:sz w:val="20"/>
          <w:szCs w:val="20"/>
          <w:b w:val="1"/>
          <w:bCs w:val="1"/>
          <w:color w:val="auto"/>
        </w:rPr>
        <w:t>17F Block A, Tefang Portman Tower, No. 81 Zhanhong Road, Siming District, Xiamen, Fujian, People’s Republic of China, 361008</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w:t>
      </w:r>
    </w:p>
    <w:p>
      <w:pPr>
        <w:spacing w:after="0" w:line="235"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names of the persons filing this statement are:</w:t>
      </w:r>
    </w:p>
    <w:p>
      <w:pPr>
        <w:spacing w:after="0" w:line="223" w:lineRule="exact"/>
        <w:rPr>
          <w:rFonts w:ascii="Arial" w:cs="Arial" w:eastAsia="Arial" w:hAnsi="Arial"/>
          <w:sz w:val="20"/>
          <w:szCs w:val="20"/>
          <w:color w:val="auto"/>
        </w:rPr>
      </w:pPr>
    </w:p>
    <w:p>
      <w:pPr>
        <w:ind w:left="1300" w:right="5820"/>
        <w:spacing w:after="0" w:line="482" w:lineRule="auto"/>
        <w:rPr>
          <w:rFonts w:ascii="Arial" w:cs="Arial" w:eastAsia="Arial" w:hAnsi="Arial"/>
          <w:sz w:val="20"/>
          <w:szCs w:val="20"/>
          <w:color w:val="auto"/>
        </w:rPr>
      </w:pPr>
      <w:r>
        <w:rPr>
          <w:rFonts w:ascii="Arial" w:cs="Arial" w:eastAsia="Arial" w:hAnsi="Arial"/>
          <w:sz w:val="20"/>
          <w:szCs w:val="20"/>
          <w:b w:val="1"/>
          <w:bCs w:val="1"/>
          <w:u w:val="single" w:color="auto"/>
          <w:color w:val="auto"/>
        </w:rPr>
        <w:t>Alkeon Capital Management, LLC (“Alkeon”) Panayotis D. Sparaggis</w:t>
      </w:r>
    </w:p>
    <w:p>
      <w:pPr>
        <w:ind w:left="1300"/>
        <w:spacing w:after="0"/>
        <w:rPr>
          <w:rFonts w:ascii="Arial" w:cs="Arial" w:eastAsia="Arial" w:hAnsi="Arial"/>
          <w:sz w:val="20"/>
          <w:szCs w:val="20"/>
          <w:color w:val="auto"/>
        </w:rPr>
      </w:pPr>
      <w:r>
        <w:rPr>
          <w:rFonts w:ascii="Arial" w:cs="Arial" w:eastAsia="Arial" w:hAnsi="Arial"/>
          <w:sz w:val="20"/>
          <w:szCs w:val="20"/>
          <w:color w:val="auto"/>
        </w:rPr>
        <w:t>(collectively, the "Filers").</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principal business address of Alkeon and Mr. Sparaggis is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u w:val="single" w:color="auto"/>
          <w:color w:val="auto"/>
        </w:rPr>
        <w:t>350 Madison Avenue, 20th Floor, New York, NY 10017</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For citizenship of Filers, see Item 4 of the cover sheet for each Filer.</w:t>
      </w:r>
    </w:p>
    <w:p>
      <w:pPr>
        <w:spacing w:after="0" w:line="229" w:lineRule="exact"/>
        <w:rPr>
          <w:rFonts w:ascii="Arial" w:cs="Arial" w:eastAsia="Arial" w:hAnsi="Arial"/>
          <w:sz w:val="20"/>
          <w:szCs w:val="20"/>
          <w:color w:val="auto"/>
        </w:rPr>
      </w:pPr>
    </w:p>
    <w:p>
      <w:pPr>
        <w:ind w:left="1300" w:hanging="644"/>
        <w:spacing w:after="0" w:line="269" w:lineRule="auto"/>
        <w:tabs>
          <w:tab w:leader="none" w:pos="130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This statement reports the Filers’ beneficial ownership of the Issuer’s American Depositary Shares, each representing eight Class A Ordinary Shares (the "Shares”). The percentage beneficially owned reported on line 11 of each Filer’s cover page represents the percentage of the Class A Ordinary Shares beneficially owned.</w:t>
      </w:r>
    </w:p>
    <w:p>
      <w:pPr>
        <w:spacing w:after="0" w:line="177" w:lineRule="exact"/>
        <w:rPr>
          <w:rFonts w:ascii="Arial" w:cs="Arial" w:eastAsia="Arial" w:hAnsi="Arial"/>
          <w:sz w:val="19"/>
          <w:szCs w:val="19"/>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The CUSIP number of the Shares is: </w:t>
      </w:r>
      <w:r>
        <w:rPr>
          <w:rFonts w:ascii="Arial" w:cs="Arial" w:eastAsia="Arial" w:hAnsi="Arial"/>
          <w:sz w:val="20"/>
          <w:szCs w:val="20"/>
          <w:b w:val="1"/>
          <w:bCs w:val="1"/>
          <w:color w:val="auto"/>
        </w:rPr>
        <w:t>54951L109</w:t>
      </w:r>
    </w:p>
    <w:p>
      <w:pPr>
        <w:spacing w:after="0" w:line="23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0"/>
          </w:cols>
          <w:pgMar w:left="240" w:top="233" w:right="599" w:bottom="1440" w:gutter="0" w:footer="0" w:header="0"/>
        </w:sectPr>
      </w:pPr>
    </w:p>
    <w:bookmarkStart w:id="4" w:name="page5"/>
    <w:bookmarkEnd w:id="4"/>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CUSIP No. 54951L109</w:t>
      </w:r>
    </w:p>
    <w:p>
      <w:pPr>
        <w:spacing w:after="0" w:line="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240.13d-1(b) or 240.13d-2(b) or (c), check whether the person filing is a:</w:t>
      </w:r>
    </w:p>
    <w:p>
      <w:pPr>
        <w:sectPr>
          <w:pgSz w:w="11900" w:h="16919" w:orient="portrait"/>
          <w:cols w:equalWidth="0" w:num="1">
            <w:col w:w="11380"/>
          </w:cols>
          <w:pgMar w:left="240" w:top="233" w:right="279" w:bottom="0" w:gutter="0" w:footer="0" w:header="0"/>
        </w:sect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 Broker or dealer registered under section 15 of the Act (15 U.S.C. 78o).</w:t>
      </w:r>
    </w:p>
    <w:p>
      <w:pPr>
        <w:spacing w:after="0" w:line="200" w:lineRule="exact"/>
        <w:rPr>
          <w:sz w:val="20"/>
          <w:szCs w:val="20"/>
          <w:color w:val="auto"/>
        </w:rPr>
      </w:pPr>
    </w:p>
    <w:p>
      <w:pPr>
        <w:sectPr>
          <w:pgSz w:w="11900" w:h="16919" w:orient="portrait"/>
          <w:cols w:equalWidth="0" w:num="2">
            <w:col w:w="1240" w:space="720"/>
            <w:col w:w="9420"/>
          </w:cols>
          <w:pgMar w:left="240" w:top="233" w:right="279" w:bottom="0" w:gutter="0" w:footer="0" w:header="0"/>
          <w:type w:val="continuous"/>
        </w:sectPr>
      </w:pP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 Bank as defined in section 3(a)(6) of the Act (15 U.S.C. 78c).</w:t>
      </w:r>
    </w:p>
    <w:p>
      <w:pPr>
        <w:spacing w:after="0" w:line="200" w:lineRule="exact"/>
        <w:rPr>
          <w:sz w:val="20"/>
          <w:szCs w:val="20"/>
          <w:color w:val="auto"/>
        </w:rPr>
      </w:pPr>
    </w:p>
    <w:p>
      <w:pPr>
        <w:sectPr>
          <w:pgSz w:w="11900" w:h="16919" w:orient="portrait"/>
          <w:cols w:equalWidth="0" w:num="2">
            <w:col w:w="1240" w:space="720"/>
            <w:col w:w="9420"/>
          </w:cols>
          <w:pgMar w:left="240" w:top="233" w:right="279" w:bottom="0" w:gutter="0" w:footer="0" w:header="0"/>
          <w:type w:val="continuous"/>
        </w:sectPr>
      </w:pPr>
    </w:p>
    <w:p>
      <w:pPr>
        <w:spacing w:after="0" w:line="5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 ] Insurance company as defined in section 3(a)(19) of the Act (15 U.S.C. 78c).</w:t>
      </w:r>
    </w:p>
    <w:p>
      <w:pPr>
        <w:sectPr>
          <w:pgSz w:w="11900" w:h="16919" w:orient="portrait"/>
          <w:cols w:equalWidth="0" w:num="1">
            <w:col w:w="11380"/>
          </w:cols>
          <w:pgMar w:left="240" w:top="233" w:right="279" w:bottom="0" w:gutter="0" w:footer="0" w:header="0"/>
          <w:type w:val="continuous"/>
        </w:sect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 Investment company registered under section 8 of the Investment Company Act of 1940 (15 U.S.C. 80a-8).</w:t>
      </w:r>
    </w:p>
    <w:p>
      <w:pPr>
        <w:spacing w:after="0" w:line="200" w:lineRule="exact"/>
        <w:rPr>
          <w:sz w:val="20"/>
          <w:szCs w:val="20"/>
          <w:color w:val="auto"/>
        </w:rPr>
      </w:pPr>
    </w:p>
    <w:p>
      <w:pPr>
        <w:sectPr>
          <w:pgSz w:w="11900" w:h="16919" w:orient="portrait"/>
          <w:cols w:equalWidth="0" w:num="2">
            <w:col w:w="1240" w:space="720"/>
            <w:col w:w="9420"/>
          </w:cols>
          <w:pgMar w:left="240" w:top="233" w:right="279" w:bottom="0" w:gutter="0" w:footer="0" w:header="0"/>
          <w:type w:val="continuous"/>
        </w:sectPr>
      </w:pPr>
    </w:p>
    <w:p>
      <w:pPr>
        <w:spacing w:after="0" w:line="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8"/>
          <w:szCs w:val="18"/>
          <w:color w:val="auto"/>
        </w:rPr>
        <w:t>[ X ] An investment adviser in accordance with section 240.13d-1(b)(1)(ii)(E) (as to Alkeon).</w:t>
      </w:r>
    </w:p>
    <w:p>
      <w:pPr>
        <w:sectPr>
          <w:pgSz w:w="11900" w:h="16919" w:orient="portrait"/>
          <w:cols w:equalWidth="0" w:num="1">
            <w:col w:w="11380"/>
          </w:cols>
          <w:pgMar w:left="240" w:top="233" w:right="279" w:bottom="0" w:gutter="0" w:footer="0" w:header="0"/>
          <w:type w:val="continuous"/>
        </w:sect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 An employee benefit plan or endowment fund in accordance with section 240.13d-1(b)(1)(ii)(F).</w:t>
      </w:r>
    </w:p>
    <w:p>
      <w:pPr>
        <w:spacing w:after="0" w:line="222" w:lineRule="exact"/>
        <w:rPr>
          <w:sz w:val="20"/>
          <w:szCs w:val="20"/>
          <w:color w:val="auto"/>
        </w:rPr>
      </w:pPr>
    </w:p>
    <w:p>
      <w:pPr>
        <w:sectPr>
          <w:pgSz w:w="11900" w:h="16919" w:orient="portrait"/>
          <w:cols w:equalWidth="0" w:num="2">
            <w:col w:w="1240" w:space="720"/>
            <w:col w:w="9420"/>
          </w:cols>
          <w:pgMar w:left="240" w:top="233" w:right="279" w:bottom="0" w:gutter="0" w:footer="0" w:header="0"/>
          <w:type w:val="continuous"/>
        </w:sectPr>
      </w:pPr>
    </w:p>
    <w:p>
      <w:pPr>
        <w:spacing w:after="0" w:line="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8"/>
          <w:szCs w:val="18"/>
          <w:color w:val="auto"/>
        </w:rPr>
        <w:t>[ X ] A parent holding company or control person in accordance with 240.13d-1(b)(1)(ii)(G) (as to Mr. Sparaggis).</w:t>
      </w:r>
    </w:p>
    <w:p>
      <w:pPr>
        <w:sectPr>
          <w:pgSz w:w="11900" w:h="16919" w:orient="portrait"/>
          <w:cols w:equalWidth="0" w:num="1">
            <w:col w:w="11380"/>
          </w:cols>
          <w:pgMar w:left="240" w:top="233" w:right="279" w:bottom="0" w:gutter="0" w:footer="0" w:header="0"/>
          <w:type w:val="continuous"/>
        </w:sect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 ] A savings association as defined in section 3(b) of the Federal Deposit Insurance Act (12 U.S.C. 1813).</w:t>
      </w:r>
    </w:p>
    <w:p>
      <w:pPr>
        <w:spacing w:after="0" w:line="200" w:lineRule="exact"/>
        <w:rPr>
          <w:sz w:val="20"/>
          <w:szCs w:val="20"/>
          <w:color w:val="auto"/>
        </w:rPr>
      </w:pPr>
    </w:p>
    <w:p>
      <w:pPr>
        <w:sectPr>
          <w:pgSz w:w="11900" w:h="16919" w:orient="portrait"/>
          <w:cols w:equalWidth="0" w:num="2">
            <w:col w:w="1240" w:space="720"/>
            <w:col w:w="9420"/>
          </w:cols>
          <w:pgMar w:left="240" w:top="233" w:right="279" w:bottom="0" w:gutter="0" w:footer="0" w:header="0"/>
          <w:type w:val="continuous"/>
        </w:sectPr>
      </w:pPr>
    </w:p>
    <w:p>
      <w:pPr>
        <w:spacing w:after="0" w:line="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780"/>
        <w:spacing w:after="0" w:line="260" w:lineRule="auto"/>
        <w:rPr>
          <w:sz w:val="20"/>
          <w:szCs w:val="20"/>
          <w:color w:val="auto"/>
        </w:rPr>
      </w:pPr>
      <w:r>
        <w:rPr>
          <w:rFonts w:ascii="Arial" w:cs="Arial" w:eastAsia="Arial" w:hAnsi="Arial"/>
          <w:sz w:val="20"/>
          <w:szCs w:val="20"/>
          <w:color w:val="auto"/>
        </w:rPr>
        <w:t>[ ] A church plan that is excluded from the definition of an investment company under section 3(c)(14) of the Investment Company Act of 1940 (15 U.S.C. 80a-3).</w:t>
      </w:r>
    </w:p>
    <w:p>
      <w:pPr>
        <w:spacing w:after="0" w:line="190" w:lineRule="exact"/>
        <w:rPr>
          <w:sz w:val="20"/>
          <w:szCs w:val="20"/>
          <w:color w:val="auto"/>
        </w:rPr>
      </w:pPr>
    </w:p>
    <w:p>
      <w:pPr>
        <w:sectPr>
          <w:pgSz w:w="11900" w:h="16919" w:orient="portrait"/>
          <w:cols w:equalWidth="0" w:num="2">
            <w:col w:w="1240" w:space="720"/>
            <w:col w:w="9420"/>
          </w:cols>
          <w:pgMar w:left="240" w:top="233" w:right="279" w:bottom="0" w:gutter="0" w:footer="0" w:header="0"/>
          <w:type w:val="continuous"/>
        </w:sectPr>
      </w:pPr>
    </w:p>
    <w:p>
      <w:pPr>
        <w:ind w:left="660"/>
        <w:spacing w:after="0"/>
        <w:rPr>
          <w:sz w:val="20"/>
          <w:szCs w:val="20"/>
          <w:color w:val="auto"/>
        </w:rPr>
      </w:pPr>
      <w:r>
        <w:rPr>
          <w:rFonts w:ascii="Arial" w:cs="Arial" w:eastAsia="Arial" w:hAnsi="Arial"/>
          <w:sz w:val="20"/>
          <w:szCs w:val="20"/>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 A non-U.S. institution in accordance with §240.13d-1(b)(ii)(J).</w:t>
      </w:r>
    </w:p>
    <w:p>
      <w:pPr>
        <w:spacing w:after="0" w:line="222" w:lineRule="exact"/>
        <w:rPr>
          <w:sz w:val="20"/>
          <w:szCs w:val="20"/>
          <w:color w:val="auto"/>
        </w:rPr>
      </w:pPr>
    </w:p>
    <w:p>
      <w:pPr>
        <w:sectPr>
          <w:pgSz w:w="11900" w:h="16919" w:orient="portrait"/>
          <w:cols w:equalWidth="0" w:num="2">
            <w:col w:w="1240" w:space="720"/>
            <w:col w:w="9420"/>
          </w:cols>
          <w:pgMar w:left="240" w:top="233" w:right="279" w:bottom="0" w:gutter="0" w:footer="0" w:header="0"/>
          <w:type w:val="continuous"/>
        </w:sectPr>
      </w:pPr>
    </w:p>
    <w:p>
      <w:pPr>
        <w:spacing w:after="0" w:line="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 Group, in accordance with Rule 13d-1(b)(1)(ii)(K).</w:t>
      </w:r>
    </w:p>
    <w:p>
      <w:pPr>
        <w:spacing w:after="0" w:line="200" w:lineRule="exact"/>
        <w:rPr>
          <w:sz w:val="20"/>
          <w:szCs w:val="20"/>
          <w:color w:val="auto"/>
        </w:rPr>
      </w:pPr>
    </w:p>
    <w:p>
      <w:pPr>
        <w:sectPr>
          <w:pgSz w:w="11900" w:h="16919" w:orient="portrait"/>
          <w:cols w:equalWidth="0" w:num="2">
            <w:col w:w="1240" w:space="720"/>
            <w:col w:w="9420"/>
          </w:cols>
          <w:pgMar w:left="240" w:top="233" w:right="279" w:bottom="0" w:gutter="0" w:footer="0" w:header="0"/>
          <w:type w:val="continuous"/>
        </w:sectPr>
      </w:pPr>
    </w:p>
    <w:p>
      <w:pPr>
        <w:spacing w:after="0" w:line="52" w:lineRule="exact"/>
        <w:rPr>
          <w:sz w:val="20"/>
          <w:szCs w:val="20"/>
          <w:color w:val="auto"/>
        </w:rPr>
      </w:pPr>
    </w:p>
    <w:p>
      <w:pPr>
        <w:ind w:left="660" w:right="1760"/>
        <w:spacing w:after="0" w:line="260" w:lineRule="auto"/>
        <w:rPr>
          <w:sz w:val="20"/>
          <w:szCs w:val="20"/>
          <w:color w:val="auto"/>
        </w:rPr>
      </w:pPr>
      <w:r>
        <w:rPr>
          <w:rFonts w:ascii="Arial" w:cs="Arial" w:eastAsia="Arial" w:hAnsi="Arial"/>
          <w:sz w:val="20"/>
          <w:szCs w:val="20"/>
          <w:color w:val="auto"/>
        </w:rPr>
        <w:t>If filing as a non-U.S. institution in accordance with §240.13d-1(b)(1)(ii)(J), please specify the type of institution _______________________________________________________________.</w:t>
      </w:r>
    </w:p>
    <w:p>
      <w:pPr>
        <w:sectPr>
          <w:pgSz w:w="11900" w:h="16919" w:orient="portrait"/>
          <w:cols w:equalWidth="0" w:num="1">
            <w:col w:w="11380"/>
          </w:cols>
          <w:pgMar w:left="240" w:top="233" w:right="279" w:bottom="0" w:gutter="0" w:footer="0" w:header="0"/>
          <w:type w:val="continuous"/>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w:t>
      </w:r>
    </w:p>
    <w:p>
      <w:pPr>
        <w:spacing w:after="0" w:line="222" w:lineRule="exact"/>
        <w:rPr>
          <w:sz w:val="20"/>
          <w:szCs w:val="20"/>
          <w:color w:val="auto"/>
        </w:rPr>
      </w:pPr>
    </w:p>
    <w:p>
      <w:pPr>
        <w:sectPr>
          <w:pgSz w:w="11900" w:h="16919" w:orient="portrait"/>
          <w:cols w:equalWidth="0" w:num="2">
            <w:col w:w="600" w:space="700"/>
            <w:col w:w="10080"/>
          </w:cols>
          <w:pgMar w:left="240" w:top="233" w:right="279" w:bottom="0" w:gutter="0" w:footer="0" w:header="0"/>
          <w:type w:val="continuous"/>
        </w:sectPr>
      </w:pP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color w:val="auto"/>
        </w:rPr>
        <w:t>See Items 5-9 and 11 of the cover page for each Filer.</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35"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35" w:lineRule="exact"/>
        <w:rPr>
          <w:sz w:val="20"/>
          <w:szCs w:val="20"/>
          <w:color w:val="auto"/>
        </w:rPr>
      </w:pPr>
    </w:p>
    <w:p>
      <w:pPr>
        <w:ind w:right="340"/>
        <w:spacing w:after="0" w:line="316" w:lineRule="auto"/>
        <w:rPr>
          <w:sz w:val="20"/>
          <w:szCs w:val="20"/>
          <w:color w:val="auto"/>
        </w:rPr>
      </w:pPr>
      <w:r>
        <w:rPr>
          <w:rFonts w:ascii="Arial" w:cs="Arial" w:eastAsia="Arial" w:hAnsi="Arial"/>
          <w:sz w:val="18"/>
          <w:szCs w:val="18"/>
          <w:color w:val="auto"/>
        </w:rPr>
        <w:t>Alkeon is an investment adviser whose clients have the right to receive or the power to direct the receipt of dividends from, or the proceeds from the sale of, the Shares. No individual client's holdings of the Shares are more than five percent of the outstanding Shares.</w:t>
      </w:r>
    </w:p>
    <w:p>
      <w:pPr>
        <w:spacing w:after="0" w:line="138" w:lineRule="exact"/>
        <w:rPr>
          <w:sz w:val="20"/>
          <w:szCs w:val="20"/>
          <w:color w:val="auto"/>
        </w:rPr>
      </w:pPr>
    </w:p>
    <w:p>
      <w:pPr>
        <w:ind w:left="1300" w:right="520" w:hanging="1296"/>
        <w:spacing w:after="0" w:line="267" w:lineRule="auto"/>
        <w:tabs>
          <w:tab w:leader="none" w:pos="12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35"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Alkeon is the investment adviser to investment funds and other clients, including investment limited partnerships that hold Shares and of which Alkeon’s affiliate, Alkeon Capital Advisers, LLC, is the general partner. Mr. Sparaggis is the control person of Alkeon and Alkeon Capital Advisers, LLC. The Filers are filing this Schedule 13G jointly, but not as members of a group, and each of them expressly disclaims membership in a group. Each Filer also disclaims beneficial ownership of the Shares except to the extent of that person's pecuniary interest therein.</w:t>
      </w:r>
    </w:p>
    <w:p>
      <w:pPr>
        <w:spacing w:after="0" w:line="20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3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8"/>
          <w:szCs w:val="18"/>
          <w:b w:val="1"/>
          <w:bCs w:val="1"/>
          <w:color w:val="auto"/>
        </w:rPr>
        <w:t>Material to Be Filed as Exhibits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Agreement Regarding Joint Filing of Statement on Schedule 13D or 13G.</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51" w:lineRule="exact"/>
        <w:rPr>
          <w:sz w:val="20"/>
          <w:szCs w:val="20"/>
          <w:color w:val="auto"/>
        </w:rPr>
      </w:pPr>
    </w:p>
    <w:p>
      <w:pPr>
        <w:ind w:left="660" w:right="700"/>
        <w:spacing w:after="0" w:line="246"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919" w:orient="portrait"/>
          <w:cols w:equalWidth="0" w:num="1">
            <w:col w:w="11380"/>
          </w:cols>
          <w:pgMar w:left="240" w:top="233" w:right="279" w:bottom="0" w:gutter="0" w:footer="0" w:header="0"/>
          <w:type w:val="continuous"/>
        </w:sectPr>
      </w:pPr>
    </w:p>
    <w:bookmarkStart w:id="5" w:name="page6"/>
    <w:bookmarkEnd w:id="5"/>
    <w:p>
      <w:pPr>
        <w:jc w:val="center"/>
        <w:ind w:right="-259"/>
        <w:spacing w:after="0"/>
        <w:rPr>
          <w:sz w:val="20"/>
          <w:szCs w:val="20"/>
          <w:color w:val="auto"/>
        </w:rPr>
      </w:pPr>
      <w:r>
        <w:rPr>
          <w:rFonts w:ascii="Arial" w:cs="Arial" w:eastAsia="Arial" w:hAnsi="Arial"/>
          <w:sz w:val="20"/>
          <w:szCs w:val="20"/>
          <w:color w:val="auto"/>
        </w:rPr>
        <w:t>SIGNATURE</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Dated: February 12, 2020</w:t>
      </w:r>
    </w:p>
    <w:p>
      <w:pPr>
        <w:spacing w:after="0" w:line="223" w:lineRule="exact"/>
        <w:rPr>
          <w:sz w:val="20"/>
          <w:szCs w:val="20"/>
          <w:color w:val="auto"/>
        </w:rPr>
      </w:pPr>
    </w:p>
    <w:p>
      <w:pPr>
        <w:ind w:left="5820"/>
        <w:spacing w:after="0"/>
        <w:rPr>
          <w:sz w:val="20"/>
          <w:szCs w:val="20"/>
          <w:color w:val="auto"/>
        </w:rPr>
      </w:pPr>
      <w:r>
        <w:rPr>
          <w:rFonts w:ascii="Arial" w:cs="Arial" w:eastAsia="Arial" w:hAnsi="Arial"/>
          <w:sz w:val="20"/>
          <w:szCs w:val="20"/>
          <w:b w:val="1"/>
          <w:bCs w:val="1"/>
          <w:color w:val="auto"/>
        </w:rPr>
        <w:t>ALKEON CAPITAL MANAGEMENT, LLC</w:t>
      </w:r>
    </w:p>
    <w:p>
      <w:pPr>
        <w:spacing w:after="0" w:line="200" w:lineRule="exact"/>
        <w:rPr>
          <w:sz w:val="20"/>
          <w:szCs w:val="20"/>
          <w:color w:val="auto"/>
        </w:rPr>
      </w:pPr>
    </w:p>
    <w:p>
      <w:pPr>
        <w:spacing w:after="0" w:line="265"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By: /s/ Jennifer Shufro, Compliance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/s/ Panayotis D. Sparaggis</w:t>
      </w:r>
    </w:p>
    <w:p>
      <w:pPr>
        <w:spacing w:after="0" w:line="23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240" w:top="352"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54951L109</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EXHIBIT A</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AGREEMENT REGARDING JOINT FILING</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OF STATEMENT ON SCHEDULE 13D OR 13G</w:t>
      </w:r>
    </w:p>
    <w:p>
      <w:pPr>
        <w:spacing w:after="0" w:line="213"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The undersigned agree to file jointly with the Securities and Exchange Commission (the "SEC") any and all statements on Schedule 13D or Schedule 13G and reports on Forms 3, 4 or 5 (and any amendments or supplements thereto) required under section 13(d) or section 16(a) of the Securities Exchange Act of 1934, as amended, in connection with purchases by the undersigned of the securities of any issuer. For that purpose, the undersigned hereby constitute and appoint Alkeon Capital Management,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Dated: February 12, 2020</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ALKEON CAPITAL MANAGEMENT, LLC</w:t>
      </w:r>
    </w:p>
    <w:p>
      <w:pPr>
        <w:spacing w:after="0" w:line="200" w:lineRule="exact"/>
        <w:rPr>
          <w:sz w:val="20"/>
          <w:szCs w:val="20"/>
          <w:color w:val="auto"/>
        </w:rPr>
      </w:pPr>
    </w:p>
    <w:p>
      <w:pPr>
        <w:spacing w:after="0" w:line="26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/s/ Jennifer Shufro, Compliance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 Panayotis D. Sparaggis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7086\008\EROBERTS\1693840.2</w:t>
      </w: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lvl w:ilvl="1">
      <w:lvlJc w:val="left"/>
      <w:lvlText w:val="(%2)"/>
      <w:numFmt w:val="lowerLetter"/>
      <w:start w:val="1"/>
    </w:lvl>
  </w:abstractNum>
  <w:abstractNum w:abstractNumId="2">
    <w:nsid w:val="46E87CCD"/>
    <w:multiLevelType w:val="hybridMultilevel"/>
    <w:lvl w:ilvl="0">
      <w:lvlJc w:val="left"/>
      <w:lvlText w:val="%1."/>
      <w:numFmt w:val="decimal"/>
      <w:start w:val="9"/>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9"/>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2020-02-17T17:26:25Z</dcterms:created>
  <dcterms:modified xsi:type="dcterms:W3CDTF">2020-02-17T17:26:25Z</dcterms:modified>
</cp:coreProperties>
</file>